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2A4EF7" w:rsidTr="002A4EF7">
        <w:trPr>
          <w:trHeight w:val="3390"/>
        </w:trPr>
        <w:tc>
          <w:tcPr>
            <w:tcW w:w="4537" w:type="dxa"/>
          </w:tcPr>
          <w:p w:rsidR="002A4EF7" w:rsidRDefault="002A4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2A4EF7" w:rsidRDefault="002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класс, задани</w:t>
            </w:r>
            <w:r w:rsidR="00ED43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A3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практического тура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2A4EF7" w:rsidRDefault="002A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F7" w:rsidRDefault="002A4EF7" w:rsidP="008E3F6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CC" w:rsidRPr="0066565B" w:rsidRDefault="00174D75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65B">
        <w:rPr>
          <w:rFonts w:ascii="Times New Roman" w:hAnsi="Times New Roman" w:cs="Times New Roman"/>
          <w:sz w:val="28"/>
          <w:szCs w:val="28"/>
        </w:rPr>
        <w:t>Титриметрия</w:t>
      </w:r>
      <w:proofErr w:type="spellEnd"/>
      <w:r w:rsidR="00FB67CC" w:rsidRPr="0066565B">
        <w:rPr>
          <w:rFonts w:ascii="Times New Roman" w:hAnsi="Times New Roman" w:cs="Times New Roman"/>
          <w:sz w:val="28"/>
          <w:szCs w:val="28"/>
        </w:rPr>
        <w:t xml:space="preserve"> –метод </w:t>
      </w:r>
      <w:r w:rsidRPr="0066565B">
        <w:rPr>
          <w:rFonts w:ascii="Times New Roman" w:hAnsi="Times New Roman" w:cs="Times New Roman"/>
          <w:sz w:val="28"/>
          <w:szCs w:val="28"/>
        </w:rPr>
        <w:t>количественного анализа в аналитической химии, основанный на измерении количества реактива, затраченного в ходе реакции. Наиболее часто для этого используется точное измерение объемов реагирующих веществ: исследуемого раствора с неизвестной концентрацией и раствора, концентрация которого известна</w:t>
      </w:r>
      <w:r w:rsidR="006E2AA6" w:rsidRPr="00665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2AA6" w:rsidRPr="0066565B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="006E2AA6" w:rsidRPr="0066565B">
        <w:rPr>
          <w:rFonts w:ascii="Times New Roman" w:hAnsi="Times New Roman" w:cs="Times New Roman"/>
          <w:sz w:val="28"/>
          <w:szCs w:val="28"/>
        </w:rPr>
        <w:t>)</w:t>
      </w:r>
      <w:r w:rsidRPr="0066565B">
        <w:rPr>
          <w:rFonts w:ascii="Times New Roman" w:hAnsi="Times New Roman" w:cs="Times New Roman"/>
          <w:sz w:val="28"/>
          <w:szCs w:val="28"/>
        </w:rPr>
        <w:t>. Для определения концентрации исследуемого раствора используют закон эквивалента:</w:t>
      </w:r>
    </w:p>
    <w:p w:rsidR="00174D75" w:rsidRPr="0066565B" w:rsidRDefault="00174D75" w:rsidP="00665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65B">
        <w:rPr>
          <w:rFonts w:ascii="Times New Roman" w:hAnsi="Times New Roman" w:cs="Times New Roman"/>
          <w:sz w:val="28"/>
          <w:szCs w:val="28"/>
        </w:rPr>
        <w:t>=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B67CC" w:rsidRPr="0066565B" w:rsidRDefault="00174D75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 xml:space="preserve">где 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65B">
        <w:rPr>
          <w:rFonts w:ascii="Times New Roman" w:hAnsi="Times New Roman" w:cs="Times New Roman"/>
          <w:sz w:val="28"/>
          <w:szCs w:val="28"/>
        </w:rPr>
        <w:t xml:space="preserve"> и 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565B">
        <w:rPr>
          <w:rFonts w:ascii="Times New Roman" w:hAnsi="Times New Roman" w:cs="Times New Roman"/>
          <w:sz w:val="28"/>
          <w:szCs w:val="28"/>
        </w:rPr>
        <w:t xml:space="preserve"> – концентрация и объем исследуемого раствора, 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65B">
        <w:rPr>
          <w:rFonts w:ascii="Times New Roman" w:hAnsi="Times New Roman" w:cs="Times New Roman"/>
          <w:sz w:val="28"/>
          <w:szCs w:val="28"/>
        </w:rPr>
        <w:t xml:space="preserve"> –</w:t>
      </w:r>
      <w:r w:rsidR="006E2AA6" w:rsidRPr="0066565B">
        <w:rPr>
          <w:rFonts w:ascii="Times New Roman" w:hAnsi="Times New Roman" w:cs="Times New Roman"/>
          <w:sz w:val="28"/>
          <w:szCs w:val="28"/>
        </w:rPr>
        <w:t xml:space="preserve"> </w:t>
      </w:r>
      <w:r w:rsidRPr="0066565B">
        <w:rPr>
          <w:rFonts w:ascii="Times New Roman" w:hAnsi="Times New Roman" w:cs="Times New Roman"/>
          <w:sz w:val="28"/>
          <w:szCs w:val="28"/>
        </w:rPr>
        <w:t xml:space="preserve">концентрация </w:t>
      </w:r>
      <w:proofErr w:type="spellStart"/>
      <w:r w:rsidR="006E2AA6" w:rsidRPr="0066565B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66565B">
        <w:rPr>
          <w:rFonts w:ascii="Times New Roman" w:hAnsi="Times New Roman" w:cs="Times New Roman"/>
          <w:sz w:val="28"/>
          <w:szCs w:val="28"/>
        </w:rPr>
        <w:t xml:space="preserve">, </w:t>
      </w:r>
      <w:r w:rsidRPr="0066565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56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565B">
        <w:rPr>
          <w:rFonts w:ascii="Times New Roman" w:hAnsi="Times New Roman" w:cs="Times New Roman"/>
          <w:sz w:val="28"/>
          <w:szCs w:val="28"/>
        </w:rPr>
        <w:t xml:space="preserve"> – объем </w:t>
      </w:r>
      <w:proofErr w:type="spellStart"/>
      <w:r w:rsidR="006E2AA6" w:rsidRPr="0066565B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66565B">
        <w:rPr>
          <w:rFonts w:ascii="Times New Roman" w:hAnsi="Times New Roman" w:cs="Times New Roman"/>
          <w:sz w:val="28"/>
          <w:szCs w:val="28"/>
        </w:rPr>
        <w:t xml:space="preserve">, израсходованный на титрование. </w:t>
      </w:r>
      <w:r w:rsidR="006E2AA6" w:rsidRPr="0066565B">
        <w:rPr>
          <w:rFonts w:ascii="Times New Roman" w:hAnsi="Times New Roman" w:cs="Times New Roman"/>
          <w:sz w:val="28"/>
          <w:szCs w:val="28"/>
        </w:rPr>
        <w:t xml:space="preserve">Определение точной концентрации методом кислотно-основного титрования основано на реакции нейтрализации. </w:t>
      </w:r>
      <w:r w:rsidR="00FB67CC" w:rsidRPr="0066565B">
        <w:rPr>
          <w:rFonts w:ascii="Times New Roman" w:hAnsi="Times New Roman" w:cs="Times New Roman"/>
          <w:sz w:val="28"/>
          <w:szCs w:val="28"/>
        </w:rPr>
        <w:t>Так как реакция нейтрализации не сопровождается изменением окраски раствора, точку эквивалентности определяют с помощью индикатора. В качестве индикатора можно использовать фенолфталеин, который становится малиновым в щелочной среде.</w:t>
      </w:r>
    </w:p>
    <w:p w:rsidR="006E2AA6" w:rsidRPr="0066565B" w:rsidRDefault="006E2AA6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>При выполнении титрования как правило отбирают конкретный объем исследуемого раствора</w:t>
      </w:r>
      <w:r w:rsidR="00443233">
        <w:rPr>
          <w:rFonts w:ascii="Times New Roman" w:hAnsi="Times New Roman" w:cs="Times New Roman"/>
          <w:sz w:val="28"/>
          <w:szCs w:val="28"/>
        </w:rPr>
        <w:t xml:space="preserve"> (как правило 5-10 мл)</w:t>
      </w:r>
      <w:r w:rsidRPr="006656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65B">
        <w:rPr>
          <w:rFonts w:ascii="Times New Roman" w:hAnsi="Times New Roman" w:cs="Times New Roman"/>
          <w:sz w:val="28"/>
          <w:szCs w:val="28"/>
        </w:rPr>
        <w:t>аликвоту</w:t>
      </w:r>
      <w:proofErr w:type="spellEnd"/>
      <w:r w:rsidRPr="0066565B">
        <w:rPr>
          <w:rFonts w:ascii="Times New Roman" w:hAnsi="Times New Roman" w:cs="Times New Roman"/>
          <w:sz w:val="28"/>
          <w:szCs w:val="28"/>
        </w:rPr>
        <w:t xml:space="preserve">), помещают ее в емкость, в эту же емкость добавляют 1-2 капли индикатора и затем по каплям – раствор </w:t>
      </w:r>
      <w:proofErr w:type="spellStart"/>
      <w:r w:rsidRPr="0066565B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66565B">
        <w:rPr>
          <w:rFonts w:ascii="Times New Roman" w:hAnsi="Times New Roman" w:cs="Times New Roman"/>
          <w:sz w:val="28"/>
          <w:szCs w:val="28"/>
        </w:rPr>
        <w:t xml:space="preserve"> до момента перехода окраски при добавлении одной капли. Объем </w:t>
      </w:r>
      <w:proofErr w:type="spellStart"/>
      <w:r w:rsidRPr="0066565B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66565B">
        <w:rPr>
          <w:rFonts w:ascii="Times New Roman" w:hAnsi="Times New Roman" w:cs="Times New Roman"/>
          <w:sz w:val="28"/>
          <w:szCs w:val="28"/>
        </w:rPr>
        <w:t>, затраченный на титрование, используют для расчета концентрации исследуемого раствора по закону эквивалента. Опыт повторяют не менее трех раз.</w:t>
      </w:r>
    </w:p>
    <w:p w:rsidR="00AA31C5" w:rsidRPr="0066565B" w:rsidRDefault="00FB67CC" w:rsidP="0066565B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 xml:space="preserve">Предложите план определения концентрации </w:t>
      </w:r>
      <w:r w:rsidR="006E2AA6" w:rsidRPr="0066565B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Pr="0066565B">
        <w:rPr>
          <w:rFonts w:ascii="Times New Roman" w:hAnsi="Times New Roman" w:cs="Times New Roman"/>
          <w:sz w:val="28"/>
          <w:szCs w:val="28"/>
        </w:rPr>
        <w:t>серной кислоты</w:t>
      </w:r>
      <w:r w:rsidR="006E2AA6" w:rsidRPr="0066565B">
        <w:rPr>
          <w:rFonts w:ascii="Times New Roman" w:hAnsi="Times New Roman" w:cs="Times New Roman"/>
          <w:sz w:val="28"/>
          <w:szCs w:val="28"/>
        </w:rPr>
        <w:t xml:space="preserve"> кислотно-основным титрованием</w:t>
      </w:r>
      <w:r w:rsidR="003E6D17" w:rsidRPr="003E6D17">
        <w:rPr>
          <w:rFonts w:ascii="Times New Roman" w:hAnsi="Times New Roman" w:cs="Times New Roman"/>
          <w:sz w:val="28"/>
          <w:szCs w:val="28"/>
        </w:rPr>
        <w:t xml:space="preserve"> </w:t>
      </w:r>
      <w:r w:rsidR="003E6D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6D17" w:rsidRPr="003E6D17">
        <w:rPr>
          <w:rFonts w:ascii="Times New Roman" w:hAnsi="Times New Roman" w:cs="Times New Roman"/>
          <w:sz w:val="28"/>
          <w:szCs w:val="28"/>
        </w:rPr>
        <w:t xml:space="preserve"> 0.1 </w:t>
      </w:r>
      <w:r w:rsidR="003E6D17">
        <w:rPr>
          <w:rFonts w:ascii="Times New Roman" w:hAnsi="Times New Roman" w:cs="Times New Roman"/>
          <w:sz w:val="28"/>
          <w:szCs w:val="28"/>
        </w:rPr>
        <w:t>раствором</w:t>
      </w:r>
      <w:r w:rsidR="003E6D17" w:rsidRPr="003E6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D17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="00AA31C5" w:rsidRPr="0066565B">
        <w:rPr>
          <w:rFonts w:ascii="Times New Roman" w:hAnsi="Times New Roman" w:cs="Times New Roman"/>
          <w:sz w:val="28"/>
          <w:szCs w:val="28"/>
        </w:rPr>
        <w:t>.</w:t>
      </w:r>
    </w:p>
    <w:p w:rsidR="00FB67CC" w:rsidRPr="00BD51A4" w:rsidRDefault="00FB67CC" w:rsidP="00BD51A4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565B">
        <w:rPr>
          <w:rFonts w:ascii="Times New Roman" w:hAnsi="Times New Roman" w:cs="Times New Roman"/>
          <w:sz w:val="28"/>
          <w:szCs w:val="28"/>
        </w:rPr>
        <w:t>С использованием имеющихся в наличии реактивов и оборудования определите концентрацию кислоты в имеющейся пробе.</w:t>
      </w:r>
      <w:bookmarkStart w:id="0" w:name="_GoBack"/>
      <w:bookmarkEnd w:id="0"/>
    </w:p>
    <w:p w:rsidR="00BD51A4" w:rsidRDefault="00BD51A4" w:rsidP="00BD51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1A4" w:rsidRDefault="00BD51A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1D4" w:rsidRDefault="00AC11D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1D4" w:rsidRDefault="00AC11D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1D4" w:rsidRDefault="00AC11D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1D4" w:rsidRDefault="00AC11D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1A4" w:rsidRDefault="00BD51A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Уважаемый участник олимпиады!</w:t>
      </w:r>
    </w:p>
    <w:p w:rsidR="00BD51A4" w:rsidRDefault="00BD51A4" w:rsidP="00BD5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51A4" w:rsidRDefault="00BD51A4" w:rsidP="00BD51A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8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cdodd</w:t>
        </w:r>
        <w:proofErr w:type="spellEnd"/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BD51A4" w:rsidRDefault="00BD51A4" w:rsidP="00BD51A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BD51A4" w:rsidRDefault="00BD51A4" w:rsidP="00BD51A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8E3F6A" w:rsidRDefault="008E3F6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8E3F6A" w:rsidSect="00AC11D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4B" w:rsidRDefault="00F2244B" w:rsidP="00AC11D4">
      <w:pPr>
        <w:spacing w:after="0" w:line="240" w:lineRule="auto"/>
      </w:pPr>
      <w:r>
        <w:separator/>
      </w:r>
    </w:p>
  </w:endnote>
  <w:endnote w:type="continuationSeparator" w:id="0">
    <w:p w:rsidR="00F2244B" w:rsidRDefault="00F2244B" w:rsidP="00AC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4507"/>
      <w:docPartObj>
        <w:docPartGallery w:val="Page Numbers (Bottom of Page)"/>
        <w:docPartUnique/>
      </w:docPartObj>
    </w:sdtPr>
    <w:sdtContent>
      <w:p w:rsidR="00AC11D4" w:rsidRDefault="00AC11D4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C11D4" w:rsidRDefault="00AC11D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4B" w:rsidRDefault="00F2244B" w:rsidP="00AC11D4">
      <w:pPr>
        <w:spacing w:after="0" w:line="240" w:lineRule="auto"/>
      </w:pPr>
      <w:r>
        <w:separator/>
      </w:r>
    </w:p>
  </w:footnote>
  <w:footnote w:type="continuationSeparator" w:id="0">
    <w:p w:rsidR="00F2244B" w:rsidRDefault="00F2244B" w:rsidP="00AC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91"/>
    <w:rsid w:val="00174D75"/>
    <w:rsid w:val="002008A0"/>
    <w:rsid w:val="002A3FE5"/>
    <w:rsid w:val="002A4EF7"/>
    <w:rsid w:val="002C2779"/>
    <w:rsid w:val="002E3A9F"/>
    <w:rsid w:val="003E6D17"/>
    <w:rsid w:val="00443233"/>
    <w:rsid w:val="004E157B"/>
    <w:rsid w:val="00647A7B"/>
    <w:rsid w:val="0066565B"/>
    <w:rsid w:val="00687342"/>
    <w:rsid w:val="00696849"/>
    <w:rsid w:val="006C3A59"/>
    <w:rsid w:val="006E2AA6"/>
    <w:rsid w:val="006E512B"/>
    <w:rsid w:val="008C2970"/>
    <w:rsid w:val="008E3F6A"/>
    <w:rsid w:val="008E6A93"/>
    <w:rsid w:val="008F2199"/>
    <w:rsid w:val="009F1EF7"/>
    <w:rsid w:val="00A52C39"/>
    <w:rsid w:val="00AA31C5"/>
    <w:rsid w:val="00AC11D4"/>
    <w:rsid w:val="00B86B91"/>
    <w:rsid w:val="00BD51A4"/>
    <w:rsid w:val="00BE16E8"/>
    <w:rsid w:val="00C727CB"/>
    <w:rsid w:val="00CB40CF"/>
    <w:rsid w:val="00CD60C6"/>
    <w:rsid w:val="00D76EEC"/>
    <w:rsid w:val="00DC7FE0"/>
    <w:rsid w:val="00ED436C"/>
    <w:rsid w:val="00F079F2"/>
    <w:rsid w:val="00F2244B"/>
    <w:rsid w:val="00F3605F"/>
    <w:rsid w:val="00F6314F"/>
    <w:rsid w:val="00FA1D19"/>
    <w:rsid w:val="00FB67C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A4EF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A4E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C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11D4"/>
  </w:style>
  <w:style w:type="paragraph" w:styleId="ab">
    <w:name w:val="footer"/>
    <w:basedOn w:val="a"/>
    <w:link w:val="ac"/>
    <w:uiPriority w:val="99"/>
    <w:unhideWhenUsed/>
    <w:rsid w:val="00AC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d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282A4D41-33AE-45D7-8CFF-2179BB75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38</cp:revision>
  <dcterms:created xsi:type="dcterms:W3CDTF">2017-10-15T06:52:00Z</dcterms:created>
  <dcterms:modified xsi:type="dcterms:W3CDTF">2017-11-10T07:03:00Z</dcterms:modified>
</cp:coreProperties>
</file>